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方正小标宋简体" w:hAnsi="仿宋" w:eastAsia="方正小标宋简体" w:cs="Times New Roman"/>
          <w:sz w:val="44"/>
          <w:szCs w:val="44"/>
        </w:rPr>
      </w:pPr>
    </w:p>
    <w:p>
      <w:pPr>
        <w:spacing w:line="560" w:lineRule="exact"/>
        <w:rPr>
          <w:rFonts w:ascii="方正小标宋简体" w:hAnsi="仿宋" w:eastAsia="方正小标宋简体" w:cs="Times New Roman"/>
          <w:sz w:val="44"/>
          <w:szCs w:val="44"/>
        </w:rPr>
      </w:pPr>
      <w:r>
        <w:rPr>
          <w:rFonts w:hint="eastAsia" w:ascii="华文中宋" w:hAnsi="华文中宋" w:eastAsia="华文中宋" w:cs="楷体_GB2312"/>
          <w:color w:val="FF0000"/>
          <w:spacing w:val="-20"/>
          <w:sz w:val="44"/>
          <w:szCs w:val="44"/>
        </w:rPr>
        <w:pict>
          <v:shape id="_x0000_s1032" o:spid="_x0000_s1032" o:spt="136" type="#_x0000_t136" style="position:absolute;left:0pt;margin-left:-0.25pt;margin-top:8.1pt;height:78.05pt;width:443.65pt;z-index:251664384;mso-width-relative:page;mso-height-relative:page;" fillcolor="#FF0000" filled="t" stroked="f" coordsize="21600,21600" adj="10800">
            <v:path/>
            <v:fill on="t" color2="#FFFFFF" focussize="0,0"/>
            <v:stroke on="f"/>
            <v:imagedata o:title=""/>
            <o:lock v:ext="edit" aspectratio="f"/>
            <v:textpath on="t" fitshape="t" fitpath="t" trim="t" xscale="f" string="滕州市人民政府办公室文件" style="font-family:华文中宋;font-size:36pt;font-weight:bold;v-text-align:center;"/>
          </v:shape>
        </w:pict>
      </w:r>
    </w:p>
    <w:p>
      <w:pPr>
        <w:spacing w:line="560" w:lineRule="exact"/>
        <w:rPr>
          <w:rFonts w:ascii="方正小标宋简体" w:hAnsi="仿宋" w:eastAsia="方正小标宋简体" w:cs="Times New Roman"/>
          <w:sz w:val="44"/>
          <w:szCs w:val="44"/>
        </w:rPr>
      </w:pPr>
    </w:p>
    <w:p>
      <w:pPr>
        <w:spacing w:line="560" w:lineRule="exact"/>
        <w:rPr>
          <w:rFonts w:ascii="方正小标宋简体" w:hAnsi="仿宋" w:eastAsia="方正小标宋简体" w:cs="Times New Roman"/>
          <w:sz w:val="44"/>
          <w:szCs w:val="44"/>
        </w:rPr>
      </w:pPr>
    </w:p>
    <w:p>
      <w:pPr>
        <w:spacing w:line="900" w:lineRule="exact"/>
        <w:rPr>
          <w:rFonts w:ascii="方正小标宋简体" w:hAnsi="仿宋" w:eastAsia="方正小标宋简体" w:cs="Times New Roman"/>
          <w:sz w:val="44"/>
          <w:szCs w:val="44"/>
        </w:rPr>
      </w:pPr>
    </w:p>
    <w:p>
      <w:pPr>
        <w:jc w:val="center"/>
        <w:rPr>
          <w:rFonts w:ascii="方正小标宋简体" w:hAnsi="仿宋" w:eastAsia="方正小标宋简体" w:cs="Times New Roman"/>
          <w:sz w:val="44"/>
          <w:szCs w:val="44"/>
        </w:rPr>
      </w:pPr>
      <w:bookmarkStart w:id="0" w:name="OLE_LINK1"/>
      <w:r>
        <w:rPr>
          <w:rFonts w:hint="eastAsia" w:ascii="仿宋_GB2312" w:hAnsi="宋体" w:eastAsia="仿宋_GB2312" w:cs="仿宋_GB2312"/>
          <w:kern w:val="0"/>
          <w:sz w:val="32"/>
          <w:szCs w:val="32"/>
        </w:rPr>
        <w:t>滕政办发</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2021</w:t>
      </w:r>
      <w:r>
        <w:rPr>
          <w:rFonts w:hint="eastAsia" w:ascii="仿宋_GB2312" w:hAnsi="仿宋_GB2312" w:eastAsia="仿宋_GB2312" w:cs="仿宋_GB2312"/>
          <w:kern w:val="0"/>
          <w:sz w:val="32"/>
          <w:szCs w:val="32"/>
        </w:rPr>
        <w:t>〕</w:t>
      </w:r>
      <w:r>
        <w:rPr>
          <w:rFonts w:ascii="仿宋_GB2312" w:hAnsi="仿宋_GB2312" w:eastAsia="仿宋_GB2312" w:cs="仿宋_GB2312"/>
          <w:kern w:val="0"/>
          <w:sz w:val="32"/>
          <w:szCs w:val="32"/>
        </w:rPr>
        <w:t>11</w:t>
      </w:r>
      <w:r>
        <w:rPr>
          <w:rFonts w:hint="eastAsia" w:ascii="仿宋_GB2312" w:hAnsi="宋体" w:eastAsia="仿宋_GB2312" w:cs="仿宋_GB2312"/>
          <w:kern w:val="0"/>
          <w:sz w:val="32"/>
          <w:szCs w:val="32"/>
        </w:rPr>
        <w:t>号</w:t>
      </w:r>
    </w:p>
    <w:bookmarkEnd w:id="0"/>
    <w:p>
      <w:pPr>
        <w:spacing w:line="560" w:lineRule="exact"/>
        <w:rPr>
          <w:rFonts w:ascii="方正小标宋简体" w:hAnsi="仿宋" w:eastAsia="方正小标宋简体" w:cs="Times New Roman"/>
          <w:sz w:val="44"/>
          <w:szCs w:val="44"/>
        </w:rPr>
      </w:pPr>
      <w:bookmarkStart w:id="1" w:name="_GoBack"/>
      <w:r>
        <w:rPr>
          <w:rFonts w:hint="eastAsia" w:ascii="华文中宋" w:hAnsi="华文中宋" w:eastAsia="华文中宋" w:cs="楷体_GB2312"/>
          <w:color w:val="FF0000"/>
          <w:spacing w:val="-20"/>
          <w:sz w:val="44"/>
          <w:szCs w:val="44"/>
        </w:rPr>
        <w:pict>
          <v:line id="_x0000_s1033" o:spid="_x0000_s1033" o:spt="20" style="position:absolute;left:0pt;margin-left:20.05pt;margin-top:27pt;height:0.05pt;width:405pt;z-index:251665408;mso-width-relative:page;mso-height-relative:page;" stroked="t" coordsize="21600,21600">
            <v:path arrowok="t"/>
            <v:fill focussize="0,0"/>
            <v:stroke weight="2.25pt" color="#FF0000"/>
            <v:imagedata o:title=""/>
            <o:lock v:ext="edit"/>
          </v:line>
        </w:pict>
      </w:r>
      <w:bookmarkEnd w:id="1"/>
    </w:p>
    <w:p>
      <w:pPr>
        <w:spacing w:line="560" w:lineRule="exact"/>
        <w:rPr>
          <w:rFonts w:ascii="方正小标宋简体" w:hAnsi="仿宋" w:eastAsia="方正小标宋简体" w:cs="Times New Roman"/>
          <w:sz w:val="44"/>
          <w:szCs w:val="44"/>
        </w:rPr>
      </w:pPr>
    </w:p>
    <w:p>
      <w:pPr>
        <w:spacing w:line="560" w:lineRule="exact"/>
        <w:jc w:val="center"/>
        <w:rPr>
          <w:rFonts w:ascii="方正小标宋简体" w:hAnsi="仿宋" w:eastAsia="方正小标宋简体" w:cs="Times New Roman"/>
          <w:sz w:val="44"/>
          <w:szCs w:val="44"/>
        </w:rPr>
      </w:pPr>
      <w:r>
        <w:rPr>
          <w:rFonts w:hint="eastAsia" w:ascii="方正小标宋简体" w:hAnsi="仿宋" w:eastAsia="方正小标宋简体" w:cs="方正小标宋简体"/>
          <w:sz w:val="44"/>
          <w:szCs w:val="44"/>
        </w:rPr>
        <w:t>滕州市人民政府办公室</w:t>
      </w:r>
    </w:p>
    <w:p>
      <w:pPr>
        <w:spacing w:line="560" w:lineRule="exact"/>
        <w:jc w:val="center"/>
        <w:rPr>
          <w:rFonts w:ascii="方正小标宋简体" w:hAnsi="仿宋" w:eastAsia="方正小标宋简体" w:cs="Times New Roman"/>
          <w:sz w:val="44"/>
          <w:szCs w:val="44"/>
        </w:rPr>
      </w:pPr>
      <w:r>
        <w:rPr>
          <w:rFonts w:hint="eastAsia" w:ascii="方正小标宋简体" w:hAnsi="仿宋" w:eastAsia="方正小标宋简体" w:cs="方正小标宋简体"/>
          <w:sz w:val="44"/>
          <w:szCs w:val="44"/>
        </w:rPr>
        <w:t>关于印发《全面推行证明事项告知承诺制</w:t>
      </w:r>
    </w:p>
    <w:p>
      <w:pPr>
        <w:spacing w:line="560" w:lineRule="exact"/>
        <w:jc w:val="center"/>
        <w:rPr>
          <w:rFonts w:ascii="方正小标宋简体" w:hAnsi="仿宋" w:eastAsia="方正小标宋简体" w:cs="Times New Roman"/>
          <w:sz w:val="44"/>
          <w:szCs w:val="44"/>
        </w:rPr>
      </w:pPr>
      <w:r>
        <w:rPr>
          <w:rFonts w:hint="eastAsia" w:ascii="方正小标宋简体" w:hAnsi="仿宋" w:eastAsia="方正小标宋简体" w:cs="方正小标宋简体"/>
          <w:sz w:val="44"/>
          <w:szCs w:val="44"/>
        </w:rPr>
        <w:t>实施方案》的通知</w:t>
      </w:r>
    </w:p>
    <w:p>
      <w:pPr>
        <w:rPr>
          <w:rFonts w:ascii="仿宋_GB2312" w:hAnsi="宋体" w:eastAsia="仿宋_GB2312" w:cs="Times New Roman"/>
          <w:kern w:val="0"/>
          <w:sz w:val="32"/>
          <w:szCs w:val="32"/>
        </w:rPr>
      </w:pPr>
    </w:p>
    <w:p>
      <w:pPr>
        <w:spacing w:line="600" w:lineRule="exact"/>
        <w:rPr>
          <w:rFonts w:ascii="仿宋_GB2312" w:hAnsi="宋体" w:eastAsia="仿宋_GB2312" w:cs="Times New Roman"/>
          <w:kern w:val="0"/>
          <w:sz w:val="32"/>
          <w:szCs w:val="32"/>
        </w:rPr>
      </w:pPr>
      <w:r>
        <w:rPr>
          <w:rFonts w:hint="eastAsia" w:ascii="仿宋_GB2312" w:hAnsi="仿宋_GB2312" w:eastAsia="仿宋_GB2312" w:cs="仿宋_GB2312"/>
          <w:color w:val="000000"/>
          <w:sz w:val="32"/>
          <w:szCs w:val="32"/>
        </w:rPr>
        <w:t>各镇人民政府、街道办事处、滕州经济开发区管委会，市政府各部门、各企事业单位：</w:t>
      </w:r>
    </w:p>
    <w:p>
      <w:pPr>
        <w:spacing w:line="560" w:lineRule="exact"/>
        <w:ind w:firstLine="640" w:firstLineChars="200"/>
        <w:rPr>
          <w:rFonts w:ascii="仿宋_GB2312" w:hAnsi="仿宋" w:eastAsia="仿宋_GB2312" w:cs="Times New Roman"/>
          <w:sz w:val="32"/>
          <w:szCs w:val="32"/>
        </w:rPr>
      </w:pPr>
      <w:r>
        <w:rPr>
          <w:rFonts w:hint="eastAsia" w:ascii="仿宋_GB2312" w:hAnsi="仿宋" w:eastAsia="仿宋_GB2312" w:cs="仿宋_GB2312"/>
          <w:sz w:val="32"/>
          <w:szCs w:val="32"/>
        </w:rPr>
        <w:t>为进一步优化营商环境，激发市场主体发展活力和社会创造力，根据《山东省人民政府办公厅关于印发山东省全面推行证明事项告知承诺制实施方案的通知》（鲁政办发〔</w:t>
      </w:r>
      <w:r>
        <w:rPr>
          <w:rFonts w:ascii="仿宋_GB2312" w:hAnsi="仿宋" w:eastAsia="仿宋_GB2312" w:cs="仿宋_GB2312"/>
          <w:sz w:val="32"/>
          <w:szCs w:val="32"/>
        </w:rPr>
        <w:t>2020</w:t>
      </w:r>
      <w:r>
        <w:rPr>
          <w:rFonts w:hint="eastAsia" w:ascii="仿宋_GB2312" w:hAnsi="仿宋" w:eastAsia="仿宋_GB2312" w:cs="仿宋_GB2312"/>
          <w:sz w:val="32"/>
          <w:szCs w:val="32"/>
        </w:rPr>
        <w:t>〕</w:t>
      </w:r>
      <w:r>
        <w:rPr>
          <w:rFonts w:ascii="仿宋_GB2312" w:hAnsi="仿宋" w:eastAsia="仿宋_GB2312" w:cs="仿宋_GB2312"/>
          <w:sz w:val="32"/>
          <w:szCs w:val="32"/>
        </w:rPr>
        <w:t>29</w:t>
      </w:r>
      <w:r>
        <w:rPr>
          <w:rFonts w:hint="eastAsia" w:ascii="仿宋_GB2312" w:hAnsi="仿宋" w:eastAsia="仿宋_GB2312" w:cs="仿宋_GB2312"/>
          <w:sz w:val="32"/>
          <w:szCs w:val="32"/>
        </w:rPr>
        <w:t>号）、枣庄市全面推行证明事项告知承诺制实施方案的要求，结合我市实际，制定本实施方案。</w:t>
      </w:r>
    </w:p>
    <w:p>
      <w:pPr>
        <w:spacing w:line="560" w:lineRule="exact"/>
        <w:ind w:firstLine="640" w:firstLineChars="200"/>
        <w:rPr>
          <w:rFonts w:ascii="仿宋_GB2312" w:hAnsi="仿宋" w:eastAsia="仿宋_GB2312" w:cs="Times New Roman"/>
          <w:sz w:val="32"/>
          <w:szCs w:val="32"/>
        </w:rPr>
      </w:pPr>
    </w:p>
    <w:p>
      <w:pPr>
        <w:adjustRightInd w:val="0"/>
        <w:snapToGrid w:val="0"/>
        <w:spacing w:line="580" w:lineRule="exact"/>
        <w:ind w:right="640"/>
        <w:jc w:val="right"/>
        <w:rPr>
          <w:rFonts w:ascii="仿宋_GB2312" w:hAnsi="仿宋" w:eastAsia="仿宋_GB2312" w:cs="Times New Roman"/>
          <w:sz w:val="32"/>
          <w:szCs w:val="32"/>
        </w:rPr>
      </w:pPr>
      <w:r>
        <w:rPr>
          <w:rFonts w:hint="eastAsia" w:ascii="仿宋_GB2312" w:hAnsi="仿宋" w:eastAsia="仿宋_GB2312" w:cs="仿宋_GB2312"/>
          <w:sz w:val="32"/>
          <w:szCs w:val="32"/>
        </w:rPr>
        <w:t>滕州市人</w:t>
      </w:r>
      <w:r>
        <w:pict>
          <v:shape id="图片 4" o:spid="_x0000_s1027" o:spt="75" alt="zhengfb" type="#_x0000_t75" style="position:absolute;left:0pt;margin-left:339.75pt;margin-top:591.45pt;height:105pt;width:104.25pt;z-index:251662336;mso-width-relative:page;mso-height-relative:page;" filled="f" o:preferrelative="t" stroked="f" coordsize="21600,21600">
            <v:path/>
            <v:fill on="f" focussize="0,0"/>
            <v:stroke on="f" joinstyle="miter"/>
            <v:imagedata r:id="rId5" o:title=""/>
            <o:lock v:ext="edit" aspectratio="t"/>
          </v:shape>
        </w:pict>
      </w:r>
      <w:r>
        <w:rPr>
          <w:rFonts w:hint="eastAsia" w:ascii="仿宋_GB2312" w:hAnsi="仿宋" w:eastAsia="仿宋_GB2312" w:cs="仿宋_GB2312"/>
          <w:sz w:val="32"/>
          <w:szCs w:val="32"/>
        </w:rPr>
        <w:t>民政府办公室</w:t>
      </w:r>
    </w:p>
    <w:p>
      <w:pPr>
        <w:pStyle w:val="4"/>
        <w:widowControl/>
        <w:adjustRightInd w:val="0"/>
        <w:snapToGrid w:val="0"/>
        <w:spacing w:beforeAutospacing="0" w:afterAutospacing="0" w:line="580" w:lineRule="exact"/>
        <w:ind w:firstLine="640" w:firstLineChars="200"/>
        <w:jc w:val="center"/>
        <w:rPr>
          <w:rFonts w:ascii="仿宋_GB2312" w:hAnsi="仿宋" w:eastAsia="仿宋_GB2312" w:cs="Times New Roman"/>
          <w:sz w:val="32"/>
          <w:szCs w:val="32"/>
        </w:rPr>
      </w:pPr>
      <w:r>
        <w:rPr>
          <w:rFonts w:ascii="仿宋_GB2312" w:hAnsi="仿宋" w:eastAsia="仿宋_GB2312" w:cs="仿宋_GB2312"/>
          <w:sz w:val="32"/>
          <w:szCs w:val="32"/>
        </w:rPr>
        <w:t xml:space="preserve">                   2021</w:t>
      </w:r>
      <w:r>
        <w:rPr>
          <w:rFonts w:hint="eastAsia" w:ascii="仿宋_GB2312" w:hAnsi="仿宋" w:eastAsia="仿宋_GB2312" w:cs="仿宋_GB2312"/>
          <w:sz w:val="32"/>
          <w:szCs w:val="32"/>
        </w:rPr>
        <w:t>年</w:t>
      </w:r>
      <w:r>
        <w:rPr>
          <w:rFonts w:ascii="仿宋_GB2312" w:hAnsi="仿宋" w:eastAsia="仿宋_GB2312" w:cs="仿宋_GB2312"/>
          <w:sz w:val="32"/>
          <w:szCs w:val="32"/>
        </w:rPr>
        <w:t>5</w:t>
      </w:r>
      <w:r>
        <w:rPr>
          <w:rFonts w:hint="eastAsia" w:ascii="仿宋_GB2312" w:hAnsi="仿宋" w:eastAsia="仿宋_GB2312" w:cs="仿宋_GB2312"/>
          <w:sz w:val="32"/>
          <w:szCs w:val="32"/>
        </w:rPr>
        <w:t>月</w:t>
      </w:r>
      <w:r>
        <w:rPr>
          <w:rFonts w:ascii="仿宋_GB2312" w:hAnsi="仿宋" w:eastAsia="仿宋_GB2312" w:cs="仿宋_GB2312"/>
          <w:sz w:val="32"/>
          <w:szCs w:val="32"/>
        </w:rPr>
        <w:t>11</w:t>
      </w:r>
      <w:r>
        <w:rPr>
          <w:rFonts w:hint="eastAsia" w:ascii="仿宋_GB2312" w:hAnsi="仿宋" w:eastAsia="仿宋_GB2312" w:cs="仿宋_GB2312"/>
          <w:sz w:val="32"/>
          <w:szCs w:val="32"/>
        </w:rPr>
        <w:t>日</w:t>
      </w:r>
    </w:p>
    <w:p>
      <w:pPr>
        <w:spacing w:line="580" w:lineRule="exact"/>
        <w:jc w:val="center"/>
        <w:rPr>
          <w:rFonts w:ascii="方正小标宋简体" w:hAnsi="仿宋" w:eastAsia="方正小标宋简体" w:cs="Times New Roman"/>
          <w:sz w:val="44"/>
          <w:szCs w:val="44"/>
        </w:rPr>
      </w:pPr>
    </w:p>
    <w:p>
      <w:pPr>
        <w:spacing w:line="580" w:lineRule="exact"/>
        <w:jc w:val="center"/>
        <w:rPr>
          <w:rFonts w:ascii="方正小标宋简体" w:hAnsi="仿宋" w:eastAsia="方正小标宋简体" w:cs="Times New Roman"/>
          <w:sz w:val="44"/>
          <w:szCs w:val="44"/>
        </w:rPr>
      </w:pPr>
      <w:r>
        <w:rPr>
          <w:rFonts w:hint="eastAsia" w:ascii="方正小标宋简体" w:hAnsi="仿宋" w:eastAsia="方正小标宋简体" w:cs="方正小标宋简体"/>
          <w:sz w:val="44"/>
          <w:szCs w:val="44"/>
        </w:rPr>
        <w:t>全面推行证明事项告知承诺制</w:t>
      </w:r>
    </w:p>
    <w:p>
      <w:pPr>
        <w:spacing w:line="580" w:lineRule="exact"/>
        <w:jc w:val="center"/>
        <w:rPr>
          <w:rFonts w:ascii="仿宋_GB2312" w:hAnsi="仿宋" w:eastAsia="仿宋_GB2312" w:cs="Times New Roman"/>
          <w:sz w:val="32"/>
          <w:szCs w:val="32"/>
        </w:rPr>
      </w:pPr>
      <w:r>
        <w:rPr>
          <w:rFonts w:hint="eastAsia" w:ascii="方正小标宋简体" w:hAnsi="仿宋" w:eastAsia="方正小标宋简体" w:cs="方正小标宋简体"/>
          <w:sz w:val="44"/>
          <w:szCs w:val="44"/>
        </w:rPr>
        <w:t>实施方案</w:t>
      </w:r>
    </w:p>
    <w:p>
      <w:pPr>
        <w:spacing w:line="580" w:lineRule="exact"/>
        <w:ind w:firstLine="640" w:firstLineChars="200"/>
        <w:rPr>
          <w:rFonts w:ascii="仿宋_GB2312" w:hAnsi="仿宋" w:eastAsia="仿宋_GB2312" w:cs="Times New Roman"/>
          <w:sz w:val="32"/>
          <w:szCs w:val="32"/>
        </w:rPr>
      </w:pPr>
    </w:p>
    <w:p>
      <w:pPr>
        <w:spacing w:line="580" w:lineRule="exact"/>
        <w:ind w:firstLine="640" w:firstLineChars="200"/>
        <w:rPr>
          <w:rFonts w:ascii="黑体" w:hAnsi="黑体" w:eastAsia="黑体" w:cs="Times New Roman"/>
          <w:sz w:val="32"/>
          <w:szCs w:val="32"/>
        </w:rPr>
      </w:pPr>
      <w:r>
        <w:rPr>
          <w:rFonts w:hint="eastAsia" w:ascii="黑体" w:hAnsi="黑体" w:eastAsia="黑体" w:cs="黑体"/>
          <w:sz w:val="32"/>
          <w:szCs w:val="32"/>
        </w:rPr>
        <w:t>一、确定告知承诺制事项范围</w:t>
      </w:r>
    </w:p>
    <w:p>
      <w:pPr>
        <w:spacing w:line="580" w:lineRule="exact"/>
        <w:ind w:firstLine="640" w:firstLineChars="200"/>
        <w:rPr>
          <w:rFonts w:ascii="仿宋_GB2312" w:hAnsi="仿宋" w:eastAsia="仿宋_GB2312" w:cs="Times New Roman"/>
          <w:sz w:val="32"/>
          <w:szCs w:val="32"/>
        </w:rPr>
      </w:pPr>
      <w:r>
        <w:rPr>
          <w:rFonts w:hint="eastAsia" w:ascii="楷体_GB2312" w:hAnsi="仿宋" w:eastAsia="楷体_GB2312" w:cs="楷体_GB2312"/>
          <w:sz w:val="32"/>
          <w:szCs w:val="32"/>
        </w:rPr>
        <w:t>（一）事项梳理原则。</w:t>
      </w:r>
      <w:r>
        <w:rPr>
          <w:rFonts w:hint="eastAsia" w:ascii="仿宋_GB2312" w:hAnsi="仿宋" w:eastAsia="仿宋_GB2312" w:cs="仿宋_GB2312"/>
          <w:sz w:val="32"/>
          <w:szCs w:val="32"/>
        </w:rPr>
        <w:t>按照最大限度便民利民原则，对照已公布的</w:t>
      </w:r>
      <w:r>
        <w:rPr>
          <w:rFonts w:hint="eastAsia" w:ascii="仿宋_GB2312" w:hAnsi="仿宋" w:eastAsia="仿宋_GB2312" w:cs="仿宋_GB2312"/>
          <w:color w:val="000000"/>
          <w:sz w:val="32"/>
          <w:szCs w:val="32"/>
        </w:rPr>
        <w:t>本系统</w:t>
      </w:r>
      <w:r>
        <w:rPr>
          <w:rFonts w:hint="eastAsia" w:ascii="仿宋_GB2312" w:hAnsi="仿宋" w:eastAsia="仿宋_GB2312" w:cs="仿宋_GB2312"/>
          <w:sz w:val="32"/>
          <w:szCs w:val="32"/>
        </w:rPr>
        <w:t>证明事项实施清单，梳理与企业和群众生产生活密切相关，使用频次较高或者当事人获取难度较大、行政机关容易核查的证明事项，实行告知承诺制。可以依托电子证照库，通过数据共享实现在线核查的法定证照类证明事项，原则上实行告知承诺制。在户籍管理、市场主体准营、资格考试、社会保险、社会救助、健康体检、法律服务等领域办理行政许可、行政确认、行政给付等行政事项时需要的证明事项，要重点推行告知承诺制。直接涉及国家安全、国家秘密、公共安全、金融业审慎监管、生态环境保护，直接关系人身健康、生命财产安全，以及重要涉外等风险较大、纠错成本较高、损害难以挽回的证明事项不适用告知承诺制。</w:t>
      </w:r>
    </w:p>
    <w:p>
      <w:pPr>
        <w:spacing w:line="580" w:lineRule="exact"/>
        <w:ind w:firstLine="640" w:firstLineChars="200"/>
        <w:rPr>
          <w:rFonts w:ascii="仿宋_GB2312" w:hAnsi="仿宋" w:eastAsia="仿宋_GB2312" w:cs="Times New Roman"/>
          <w:color w:val="000000"/>
          <w:sz w:val="32"/>
          <w:szCs w:val="32"/>
        </w:rPr>
      </w:pPr>
      <w:r>
        <w:rPr>
          <w:rFonts w:hint="eastAsia" w:ascii="楷体_GB2312" w:hAnsi="仿宋" w:eastAsia="楷体_GB2312" w:cs="楷体_GB2312"/>
          <w:color w:val="000000"/>
          <w:sz w:val="32"/>
          <w:szCs w:val="32"/>
        </w:rPr>
        <w:t>（二）编制公布事项清单。</w:t>
      </w:r>
      <w:r>
        <w:rPr>
          <w:rFonts w:hint="eastAsia" w:ascii="仿宋_GB2312" w:eastAsia="仿宋_GB2312" w:cs="仿宋_GB2312"/>
          <w:color w:val="000000"/>
          <w:sz w:val="32"/>
          <w:szCs w:val="32"/>
        </w:rPr>
        <w:t>对照枣庄市级主管部门</w:t>
      </w:r>
      <w:r>
        <w:rPr>
          <w:rFonts w:hint="eastAsia" w:ascii="仿宋_GB2312" w:hAnsi="仿宋" w:eastAsia="仿宋_GB2312" w:cs="仿宋_GB2312"/>
          <w:color w:val="000000"/>
          <w:sz w:val="32"/>
          <w:szCs w:val="32"/>
        </w:rPr>
        <w:t>编制的实行告知承诺制的证明事项通用清单，各相关单位在全部认领清单的基础上，结合滕州实际，编制实行告知承诺制的证明事项清单。要适当扩大清单范围，将更多的事项纳入本地清单。报市司法局审核后，由市政府统一公布，各相关单位按照清单内容实施。</w:t>
      </w:r>
    </w:p>
    <w:p>
      <w:pPr>
        <w:spacing w:line="580" w:lineRule="exact"/>
        <w:ind w:firstLine="640" w:firstLineChars="200"/>
        <w:rPr>
          <w:rFonts w:ascii="仿宋_GB2312" w:hAnsi="仿宋" w:eastAsia="仿宋_GB2312" w:cs="Times New Roman"/>
          <w:color w:val="000000"/>
          <w:sz w:val="32"/>
          <w:szCs w:val="32"/>
        </w:rPr>
      </w:pPr>
      <w:r>
        <w:rPr>
          <w:rFonts w:hint="eastAsia" w:ascii="楷体_GB2312" w:hAnsi="仿宋" w:eastAsia="楷体_GB2312" w:cs="楷体_GB2312"/>
          <w:color w:val="000000"/>
          <w:sz w:val="32"/>
          <w:szCs w:val="32"/>
        </w:rPr>
        <w:t>（三）建立动态调整机制。</w:t>
      </w:r>
      <w:r>
        <w:rPr>
          <w:rFonts w:hint="eastAsia" w:ascii="仿宋_GB2312" w:hAnsi="仿宋" w:eastAsia="仿宋_GB2312" w:cs="仿宋_GB2312"/>
          <w:color w:val="000000"/>
          <w:sz w:val="32"/>
          <w:szCs w:val="32"/>
        </w:rPr>
        <w:t>根据行政事项的调整情况和告知承诺制推行情况，适时调整实行告知承诺制的证明事项清单。需要调整的，各相关单位向市司法局提交申请和依据，经审核后公布实施，并将公布后的清单于</w:t>
      </w:r>
      <w:r>
        <w:rPr>
          <w:rFonts w:ascii="仿宋_GB2312" w:hAnsi="仿宋" w:eastAsia="仿宋_GB2312" w:cs="仿宋_GB2312"/>
          <w:color w:val="000000"/>
          <w:sz w:val="32"/>
          <w:szCs w:val="32"/>
        </w:rPr>
        <w:t>7</w:t>
      </w:r>
      <w:r>
        <w:rPr>
          <w:rFonts w:hint="eastAsia" w:ascii="仿宋_GB2312" w:hAnsi="仿宋" w:eastAsia="仿宋_GB2312" w:cs="仿宋_GB2312"/>
          <w:color w:val="000000"/>
          <w:sz w:val="32"/>
          <w:szCs w:val="32"/>
        </w:rPr>
        <w:t>个工作日内报送备案。</w:t>
      </w:r>
    </w:p>
    <w:p>
      <w:pPr>
        <w:spacing w:line="580" w:lineRule="exact"/>
        <w:ind w:firstLine="640" w:firstLineChars="200"/>
        <w:rPr>
          <w:rFonts w:ascii="黑体" w:hAnsi="黑体" w:eastAsia="黑体" w:cs="Times New Roman"/>
          <w:sz w:val="32"/>
          <w:szCs w:val="32"/>
        </w:rPr>
      </w:pPr>
      <w:r>
        <w:rPr>
          <w:rFonts w:hint="eastAsia" w:ascii="黑体" w:hAnsi="黑体" w:eastAsia="黑体" w:cs="黑体"/>
          <w:sz w:val="32"/>
          <w:szCs w:val="32"/>
        </w:rPr>
        <w:t>二、规范告知承诺制工作流程</w:t>
      </w:r>
    </w:p>
    <w:p>
      <w:pPr>
        <w:spacing w:line="580" w:lineRule="exact"/>
        <w:ind w:firstLine="640" w:firstLineChars="200"/>
        <w:rPr>
          <w:rFonts w:ascii="仿宋_GB2312" w:hAnsi="仿宋" w:eastAsia="仿宋_GB2312" w:cs="Times New Roman"/>
          <w:sz w:val="32"/>
          <w:szCs w:val="32"/>
        </w:rPr>
      </w:pPr>
      <w:r>
        <w:rPr>
          <w:rFonts w:hint="eastAsia" w:ascii="楷体_GB2312" w:hAnsi="仿宋" w:eastAsia="楷体_GB2312" w:cs="楷体_GB2312"/>
          <w:sz w:val="32"/>
          <w:szCs w:val="32"/>
        </w:rPr>
        <w:t>（一）制定工作规程。</w:t>
      </w:r>
      <w:r>
        <w:rPr>
          <w:rFonts w:hint="eastAsia" w:ascii="仿宋_GB2312" w:hAnsi="仿宋" w:eastAsia="仿宋_GB2312" w:cs="仿宋_GB2312"/>
          <w:sz w:val="32"/>
          <w:szCs w:val="32"/>
        </w:rPr>
        <w:t>市司法局将根据枣庄市级通用性工作规程，进一步规范我市实行证明事项告知承诺制涉及的相关单位和当事人权利义务、告知内容、承诺内容、核查要求、办理程序、信用管理、法律责任等，为实行告知承诺制提供操作指引。</w:t>
      </w:r>
    </w:p>
    <w:p>
      <w:pPr>
        <w:spacing w:line="580" w:lineRule="exact"/>
        <w:ind w:firstLine="640" w:firstLineChars="200"/>
        <w:rPr>
          <w:rFonts w:ascii="仿宋_GB2312" w:hAnsi="仿宋" w:eastAsia="仿宋_GB2312" w:cs="Times New Roman"/>
          <w:sz w:val="32"/>
          <w:szCs w:val="32"/>
        </w:rPr>
      </w:pPr>
      <w:r>
        <w:rPr>
          <w:rFonts w:hint="eastAsia" w:ascii="楷体_GB2312" w:hAnsi="仿宋" w:eastAsia="楷体_GB2312" w:cs="楷体_GB2312"/>
          <w:sz w:val="32"/>
          <w:szCs w:val="32"/>
        </w:rPr>
        <w:t>（二）制作格式文本。</w:t>
      </w:r>
      <w:r>
        <w:rPr>
          <w:rFonts w:hint="eastAsia" w:ascii="仿宋_GB2312" w:hAnsi="仿宋" w:eastAsia="仿宋_GB2312" w:cs="仿宋_GB2312"/>
          <w:sz w:val="32"/>
          <w:szCs w:val="32"/>
        </w:rPr>
        <w:t>各相关单位根据通用性工作规程，制作书面告知书和书面承诺书格式文本，在证明事项通用清单公布后</w:t>
      </w:r>
      <w:r>
        <w:rPr>
          <w:rFonts w:ascii="仿宋_GB2312" w:hAnsi="仿宋" w:eastAsia="仿宋_GB2312" w:cs="仿宋_GB2312"/>
          <w:sz w:val="32"/>
          <w:szCs w:val="32"/>
        </w:rPr>
        <w:t>10</w:t>
      </w:r>
      <w:r>
        <w:rPr>
          <w:rFonts w:hint="eastAsia" w:ascii="仿宋_GB2312" w:hAnsi="仿宋" w:eastAsia="仿宋_GB2312" w:cs="仿宋_GB2312"/>
          <w:sz w:val="32"/>
          <w:szCs w:val="32"/>
        </w:rPr>
        <w:t>个工作日内，通过相关服务场所、网站和政务服务平台等公布，方便申请人查阅、索取、使用。</w:t>
      </w:r>
    </w:p>
    <w:p>
      <w:pPr>
        <w:spacing w:line="580" w:lineRule="exact"/>
        <w:ind w:firstLine="640" w:firstLineChars="200"/>
        <w:rPr>
          <w:rFonts w:ascii="仿宋_GB2312" w:hAnsi="仿宋" w:eastAsia="仿宋_GB2312" w:cs="Times New Roman"/>
          <w:sz w:val="32"/>
          <w:szCs w:val="32"/>
        </w:rPr>
      </w:pPr>
      <w:r>
        <w:rPr>
          <w:rFonts w:hint="eastAsia" w:ascii="楷体_GB2312" w:hAnsi="仿宋" w:eastAsia="楷体_GB2312" w:cs="楷体_GB2312"/>
          <w:sz w:val="32"/>
          <w:szCs w:val="32"/>
        </w:rPr>
        <w:t>（三）完善办事指南。</w:t>
      </w:r>
      <w:r>
        <w:rPr>
          <w:rFonts w:hint="eastAsia" w:ascii="仿宋_GB2312" w:hAnsi="仿宋" w:eastAsia="仿宋_GB2312" w:cs="仿宋_GB2312"/>
          <w:sz w:val="32"/>
          <w:szCs w:val="32"/>
        </w:rPr>
        <w:t>按照实行告知承诺制的相关要求，各相关单位要编制、补充、完善行政事项办事指南，明确当事人选择告知承诺的要求，明确选择或不选择告知承诺的办事程序，明确选择承诺中途退出工作流程，与格式文本一并公告。</w:t>
      </w:r>
    </w:p>
    <w:p>
      <w:pPr>
        <w:spacing w:line="580" w:lineRule="exact"/>
        <w:ind w:firstLine="640" w:firstLineChars="200"/>
        <w:rPr>
          <w:rFonts w:ascii="仿宋_GB2312" w:hAnsi="仿宋" w:eastAsia="仿宋_GB2312" w:cs="Times New Roman"/>
          <w:sz w:val="32"/>
          <w:szCs w:val="32"/>
        </w:rPr>
      </w:pPr>
      <w:r>
        <w:rPr>
          <w:rFonts w:hint="eastAsia" w:ascii="楷体_GB2312" w:hAnsi="仿宋" w:eastAsia="楷体_GB2312" w:cs="楷体_GB2312"/>
          <w:sz w:val="32"/>
          <w:szCs w:val="32"/>
        </w:rPr>
        <w:t>（四）明确公开事项。</w:t>
      </w:r>
      <w:r>
        <w:rPr>
          <w:rFonts w:hint="eastAsia" w:ascii="仿宋_GB2312" w:hAnsi="仿宋" w:eastAsia="仿宋_GB2312" w:cs="仿宋_GB2312"/>
          <w:sz w:val="32"/>
          <w:szCs w:val="32"/>
        </w:rPr>
        <w:t>对涉及社会公共利益、第三人利益或者核查难度较大的证明事项，各相关单位决定向社会公开告知承诺书的，应当制作事项目录向社会公开，并在当事人申请时告知。当事人拒绝公开的，应当提交法律法规或者国务院决定要求的证明。</w:t>
      </w:r>
    </w:p>
    <w:p>
      <w:pPr>
        <w:spacing w:line="580" w:lineRule="exact"/>
        <w:ind w:firstLine="640" w:firstLineChars="200"/>
        <w:rPr>
          <w:rFonts w:ascii="仿宋_GB2312" w:hAnsi="黑体" w:eastAsia="仿宋_GB2312" w:cs="Times New Roman"/>
          <w:sz w:val="32"/>
          <w:szCs w:val="32"/>
        </w:rPr>
      </w:pPr>
      <w:r>
        <w:rPr>
          <w:rFonts w:hint="eastAsia" w:ascii="黑体" w:hAnsi="黑体" w:eastAsia="黑体" w:cs="黑体"/>
          <w:sz w:val="32"/>
          <w:szCs w:val="32"/>
        </w:rPr>
        <w:t>三、强化告知承诺制核查与监管</w:t>
      </w:r>
    </w:p>
    <w:p>
      <w:pPr>
        <w:spacing w:line="580" w:lineRule="exact"/>
        <w:ind w:firstLine="640" w:firstLineChars="200"/>
        <w:rPr>
          <w:rFonts w:ascii="仿宋_GB2312" w:hAnsi="仿宋" w:eastAsia="仿宋_GB2312" w:cs="Times New Roman"/>
          <w:sz w:val="32"/>
          <w:szCs w:val="32"/>
        </w:rPr>
      </w:pPr>
      <w:r>
        <w:rPr>
          <w:rFonts w:hint="eastAsia" w:ascii="楷体_GB2312" w:hAnsi="仿宋" w:eastAsia="楷体_GB2312" w:cs="楷体_GB2312"/>
          <w:sz w:val="32"/>
          <w:szCs w:val="32"/>
        </w:rPr>
        <w:t>（一）分类确定核查办法。</w:t>
      </w:r>
      <w:r>
        <w:rPr>
          <w:rFonts w:hint="eastAsia" w:ascii="仿宋_GB2312" w:hAnsi="仿宋" w:eastAsia="仿宋_GB2312" w:cs="仿宋_GB2312"/>
          <w:sz w:val="32"/>
          <w:szCs w:val="32"/>
        </w:rPr>
        <w:t>针对行政事项特点，综合考虑行业管理需要、核查难度、承诺人信用状况等因素，各相关单位要针对实行告知承诺制的证明事项清单，分类确定核查时间、标准、方式以及是否免于核查。对于法定证照类等证明事项，可以通过电子证照库、政务信息共享平台、政务服务移动客户端等收集、比对相关数据，实施在线核查；对于确需现场勘验等方式现场核查的，要优化工作流程、加强业务协同，避免烦企扰民；对于数据尚未实现网络共享、通过其他方式难以核查的，可以请求其他行政机关协助，避免因核查效率降低影响企业和群众办事。</w:t>
      </w:r>
    </w:p>
    <w:p>
      <w:pPr>
        <w:spacing w:line="580" w:lineRule="exact"/>
        <w:ind w:firstLine="640" w:firstLineChars="200"/>
        <w:rPr>
          <w:rFonts w:ascii="仿宋_GB2312" w:hAnsi="仿宋" w:eastAsia="仿宋_GB2312" w:cs="仿宋_GB2312"/>
          <w:sz w:val="32"/>
          <w:szCs w:val="32"/>
        </w:rPr>
      </w:pPr>
      <w:r>
        <w:rPr>
          <w:rFonts w:hint="eastAsia" w:ascii="楷体_GB2312" w:hAnsi="仿宋" w:eastAsia="楷体_GB2312" w:cs="楷体_GB2312"/>
          <w:sz w:val="32"/>
          <w:szCs w:val="32"/>
        </w:rPr>
        <w:t>（二）建立健全核查机制。</w:t>
      </w:r>
      <w:r>
        <w:rPr>
          <w:rFonts w:hint="eastAsia" w:ascii="仿宋_GB2312" w:hAnsi="仿宋" w:eastAsia="仿宋_GB2312" w:cs="仿宋_GB2312"/>
          <w:sz w:val="32"/>
          <w:szCs w:val="32"/>
        </w:rPr>
        <w:t>市大数据中心要通过一体化在线政务服务平台、一体化大数据平台等，有效整合信息资源，为实现信息核查提供技术支撑。对于需要在线核查但暂时未实现的或者需要其他行政机关协助核查的，市司法局牵头组织编制行政协助事项清单，有关行政机关要积极配合，建立需求单位和协助单位的协同配合工作机制。</w:t>
      </w:r>
      <w:r>
        <w:rPr>
          <w:rFonts w:ascii="仿宋_GB2312" w:hAnsi="仿宋" w:eastAsia="仿宋_GB2312" w:cs="仿宋_GB2312"/>
          <w:sz w:val="32"/>
          <w:szCs w:val="32"/>
        </w:rPr>
        <w:t xml:space="preserve"> </w:t>
      </w:r>
    </w:p>
    <w:p>
      <w:pPr>
        <w:spacing w:line="580" w:lineRule="exact"/>
        <w:ind w:firstLine="640" w:firstLineChars="200"/>
        <w:rPr>
          <w:rFonts w:ascii="仿宋_GB2312" w:hAnsi="仿宋" w:eastAsia="仿宋_GB2312" w:cs="Times New Roman"/>
          <w:sz w:val="32"/>
          <w:szCs w:val="32"/>
        </w:rPr>
      </w:pPr>
      <w:r>
        <w:rPr>
          <w:rFonts w:hint="eastAsia" w:ascii="楷体_GB2312" w:hAnsi="仿宋" w:eastAsia="楷体_GB2312" w:cs="楷体_GB2312"/>
          <w:sz w:val="32"/>
          <w:szCs w:val="32"/>
        </w:rPr>
        <w:t>（三）加强事中事后监管。</w:t>
      </w:r>
      <w:r>
        <w:rPr>
          <w:rFonts w:hint="eastAsia" w:ascii="仿宋_GB2312" w:hAnsi="仿宋" w:eastAsia="仿宋_GB2312" w:cs="仿宋_GB2312"/>
          <w:sz w:val="32"/>
          <w:szCs w:val="32"/>
        </w:rPr>
        <w:t>对于通过告知承诺制办理的行政事项，尤其是免于信息核查办理的行政事项，各相关单位要综合运用“双随机、一公开”监管、重点监管、“互联网</w:t>
      </w:r>
      <w:r>
        <w:rPr>
          <w:rFonts w:ascii="仿宋_GB2312" w:hAnsi="仿宋" w:eastAsia="仿宋_GB2312" w:cs="仿宋_GB2312"/>
          <w:sz w:val="32"/>
          <w:szCs w:val="32"/>
        </w:rPr>
        <w:t>+</w:t>
      </w:r>
      <w:r>
        <w:rPr>
          <w:rFonts w:hint="eastAsia" w:ascii="仿宋_GB2312" w:hAnsi="仿宋" w:eastAsia="仿宋_GB2312" w:cs="仿宋_GB2312"/>
          <w:sz w:val="32"/>
          <w:szCs w:val="32"/>
        </w:rPr>
        <w:t>监管”、智慧监管等方式加强日常监管，有效规避行业管理风险。行政事项办理单位和行业监</w:t>
      </w:r>
      <w:r>
        <w:rPr>
          <w:rFonts w:hint="eastAsia" w:ascii="仿宋_GB2312" w:hAnsi="仿宋" w:eastAsia="仿宋_GB2312" w:cs="仿宋_GB2312"/>
          <w:color w:val="000000"/>
          <w:sz w:val="32"/>
          <w:szCs w:val="32"/>
        </w:rPr>
        <w:t>管单位不一致的，行政事项办理单位确定免于核查的，要充分征求行业监管单位意</w:t>
      </w:r>
      <w:r>
        <w:rPr>
          <w:rFonts w:hint="eastAsia" w:ascii="仿宋_GB2312" w:hAnsi="仿宋" w:eastAsia="仿宋_GB2312" w:cs="仿宋_GB2312"/>
          <w:sz w:val="32"/>
          <w:szCs w:val="32"/>
        </w:rPr>
        <w:t>见，明确双方权责，建立协调配合、信息共享等工作机制，避免监管真空、监管缺位。在信息核查和事中事后监管中发现承诺不实的，要依法终止办理、责令限期整改、撤销行政决定或者予以行政处罚。涉嫌犯罪的，依法移送司法机关。</w:t>
      </w:r>
    </w:p>
    <w:p>
      <w:pPr>
        <w:spacing w:line="580" w:lineRule="exact"/>
        <w:ind w:firstLine="640" w:firstLineChars="200"/>
        <w:rPr>
          <w:rFonts w:ascii="黑体" w:hAnsi="黑体" w:eastAsia="黑体" w:cs="Times New Roman"/>
          <w:sz w:val="32"/>
          <w:szCs w:val="32"/>
        </w:rPr>
      </w:pPr>
      <w:r>
        <w:rPr>
          <w:rFonts w:hint="eastAsia" w:ascii="黑体" w:hAnsi="黑体" w:eastAsia="黑体" w:cs="黑体"/>
          <w:sz w:val="32"/>
          <w:szCs w:val="32"/>
        </w:rPr>
        <w:t>四、完善告知承诺制信用管理</w:t>
      </w:r>
    </w:p>
    <w:p>
      <w:pPr>
        <w:spacing w:line="580" w:lineRule="exact"/>
        <w:ind w:firstLine="640" w:firstLineChars="200"/>
        <w:rPr>
          <w:rFonts w:ascii="仿宋_GB2312" w:hAnsi="仿宋" w:eastAsia="仿宋_GB2312" w:cs="Times New Roman"/>
          <w:sz w:val="32"/>
          <w:szCs w:val="32"/>
        </w:rPr>
      </w:pPr>
      <w:r>
        <w:rPr>
          <w:rFonts w:hint="eastAsia" w:ascii="楷体_GB2312" w:hAnsi="仿宋" w:eastAsia="楷体_GB2312" w:cs="楷体_GB2312"/>
          <w:sz w:val="32"/>
          <w:szCs w:val="32"/>
        </w:rPr>
        <w:t>（一）建立管理机制。</w:t>
      </w:r>
      <w:r>
        <w:rPr>
          <w:rFonts w:hint="eastAsia" w:ascii="仿宋_GB2312" w:hAnsi="仿宋" w:eastAsia="仿宋_GB2312" w:cs="仿宋_GB2312"/>
          <w:sz w:val="32"/>
          <w:szCs w:val="32"/>
        </w:rPr>
        <w:t>市发展和改革局、市司法局牵头建立告知承诺信用信息归集、推送、管理、使用等工作机制。依法科学界定告知承诺失信行为，明确相应失信惩戒措施，探索建立信用修复、异议处理机制。各相关单位要通过枣庄市公共信用信息平台、国家企业信用信息公示系统（山东）将承诺信息及履行承诺情况全面纳入信用记录。</w:t>
      </w:r>
    </w:p>
    <w:p>
      <w:pPr>
        <w:spacing w:line="580" w:lineRule="exact"/>
        <w:ind w:firstLine="640" w:firstLineChars="200"/>
        <w:rPr>
          <w:rFonts w:ascii="仿宋_GB2312" w:hAnsi="仿宋" w:eastAsia="仿宋_GB2312" w:cs="Times New Roman"/>
          <w:sz w:val="32"/>
          <w:szCs w:val="32"/>
        </w:rPr>
      </w:pPr>
      <w:r>
        <w:rPr>
          <w:rFonts w:hint="eastAsia" w:ascii="楷体_GB2312" w:hAnsi="仿宋" w:eastAsia="楷体_GB2312" w:cs="楷体_GB2312"/>
          <w:sz w:val="32"/>
          <w:szCs w:val="32"/>
        </w:rPr>
        <w:t>（二）加强信用管理。</w:t>
      </w:r>
      <w:r>
        <w:rPr>
          <w:rFonts w:hint="eastAsia" w:ascii="仿宋_GB2312" w:hAnsi="仿宋" w:eastAsia="仿宋_GB2312" w:cs="仿宋_GB2312"/>
          <w:sz w:val="32"/>
          <w:szCs w:val="32"/>
        </w:rPr>
        <w:t>各相关单位要依法建立申请人诚信档案，探索信用等级分档、分类管理，对申请人有较严重不良信用记录或者存在曾作出虚假承诺等情形的，在信用修复前不适用告知承诺制，要区分不同失信情形实施相应惩戒措施。</w:t>
      </w:r>
    </w:p>
    <w:p>
      <w:pPr>
        <w:spacing w:line="580" w:lineRule="exact"/>
        <w:ind w:firstLine="640" w:firstLineChars="200"/>
        <w:rPr>
          <w:rFonts w:ascii="黑体" w:hAnsi="黑体" w:eastAsia="黑体" w:cs="Times New Roman"/>
          <w:sz w:val="32"/>
          <w:szCs w:val="32"/>
        </w:rPr>
      </w:pPr>
      <w:r>
        <w:rPr>
          <w:rFonts w:hint="eastAsia" w:ascii="黑体" w:hAnsi="黑体" w:eastAsia="黑体" w:cs="黑体"/>
          <w:sz w:val="32"/>
          <w:szCs w:val="32"/>
        </w:rPr>
        <w:t>五、加强实施组织保障</w:t>
      </w:r>
    </w:p>
    <w:p>
      <w:pPr>
        <w:spacing w:line="580" w:lineRule="exact"/>
        <w:ind w:firstLine="640" w:firstLineChars="200"/>
        <w:rPr>
          <w:rFonts w:ascii="仿宋_GB2312" w:hAnsi="楷体" w:eastAsia="仿宋_GB2312" w:cs="Times New Roman"/>
          <w:color w:val="3F3F3F"/>
          <w:sz w:val="32"/>
          <w:szCs w:val="32"/>
        </w:rPr>
      </w:pPr>
      <w:r>
        <w:rPr>
          <w:rFonts w:hint="eastAsia" w:ascii="楷体_GB2312" w:hAnsi="仿宋" w:eastAsia="楷体_GB2312" w:cs="楷体_GB2312"/>
          <w:sz w:val="32"/>
          <w:szCs w:val="32"/>
        </w:rPr>
        <w:t>（一）加强组织领导。</w:t>
      </w:r>
      <w:r>
        <w:rPr>
          <w:rFonts w:hint="eastAsia" w:ascii="仿宋_GB2312" w:hAnsi="仿宋" w:eastAsia="仿宋_GB2312" w:cs="仿宋_GB2312"/>
          <w:color w:val="000000"/>
          <w:sz w:val="32"/>
          <w:szCs w:val="32"/>
        </w:rPr>
        <w:t>各单位</w:t>
      </w:r>
      <w:r>
        <w:rPr>
          <w:rFonts w:hint="eastAsia" w:ascii="仿宋_GB2312" w:hAnsi="仿宋" w:eastAsia="仿宋_GB2312" w:cs="仿宋_GB2312"/>
          <w:sz w:val="32"/>
          <w:szCs w:val="32"/>
        </w:rPr>
        <w:t>主要负责同志作为本单位全面推行告知承诺制工作的第一责任人，负责推进工作落实。要建立市政府办公室、司法行政、政务服务、信息公开、大数据、发展改革、公安、财政、税务、市场监管等单位参加的全面推行告知承诺制工作协调机制。市委市政府督办中心、</w:t>
      </w:r>
      <w:r>
        <w:rPr>
          <w:rFonts w:hint="eastAsia" w:ascii="仿宋_GB2312" w:hAnsi="仿宋" w:eastAsia="仿宋_GB2312" w:cs="仿宋_GB2312"/>
          <w:color w:val="000000"/>
          <w:sz w:val="32"/>
          <w:szCs w:val="32"/>
        </w:rPr>
        <w:t>市司法局</w:t>
      </w:r>
      <w:r>
        <w:rPr>
          <w:rFonts w:hint="eastAsia" w:ascii="仿宋_GB2312" w:hAnsi="仿宋" w:eastAsia="仿宋_GB2312" w:cs="仿宋_GB2312"/>
          <w:sz w:val="32"/>
          <w:szCs w:val="32"/>
        </w:rPr>
        <w:t>要做好全面推行证明事项告知承诺制的指导协调、监督检查和跟踪评估等工作。</w:t>
      </w:r>
    </w:p>
    <w:p>
      <w:pPr>
        <w:spacing w:line="580" w:lineRule="exact"/>
        <w:ind w:firstLine="640" w:firstLineChars="200"/>
        <w:rPr>
          <w:rFonts w:ascii="仿宋_GB2312" w:hAnsi="仿宋" w:eastAsia="仿宋_GB2312" w:cs="Times New Roman"/>
          <w:sz w:val="32"/>
          <w:szCs w:val="32"/>
        </w:rPr>
      </w:pPr>
      <w:r>
        <w:rPr>
          <w:rFonts w:hint="eastAsia" w:ascii="楷体_GB2312" w:hAnsi="仿宋" w:eastAsia="楷体_GB2312" w:cs="楷体_GB2312"/>
          <w:sz w:val="32"/>
          <w:szCs w:val="32"/>
        </w:rPr>
        <w:t>（二）强化风险防范</w:t>
      </w:r>
      <w:r>
        <w:rPr>
          <w:rFonts w:hint="eastAsia" w:ascii="楷体_GB2312" w:hAnsi="仿宋" w:eastAsia="楷体_GB2312" w:cs="楷体_GB2312"/>
          <w:color w:val="000000"/>
          <w:sz w:val="32"/>
          <w:szCs w:val="32"/>
        </w:rPr>
        <w:t>。</w:t>
      </w:r>
      <w:r>
        <w:rPr>
          <w:rFonts w:hint="eastAsia" w:ascii="仿宋_GB2312" w:hAnsi="仿宋" w:eastAsia="仿宋_GB2312" w:cs="仿宋_GB2312"/>
          <w:color w:val="000000"/>
          <w:sz w:val="32"/>
          <w:szCs w:val="32"/>
        </w:rPr>
        <w:t>各单位要</w:t>
      </w:r>
      <w:r>
        <w:rPr>
          <w:rFonts w:hint="eastAsia" w:ascii="仿宋_GB2312" w:hAnsi="仿宋" w:eastAsia="仿宋_GB2312" w:cs="仿宋_GB2312"/>
          <w:sz w:val="32"/>
          <w:szCs w:val="32"/>
        </w:rPr>
        <w:t>将风险防范贯穿推行证明事项告知承诺制工作始终，综合考虑法律风险、安全风险、社会风险等，制定防控措施。对涉及经济利益价值较高、事中事后核查难度较大的事项，探索引入责任保险制度。</w:t>
      </w:r>
    </w:p>
    <w:p>
      <w:pPr>
        <w:spacing w:line="580" w:lineRule="exact"/>
        <w:ind w:firstLine="640" w:firstLineChars="200"/>
        <w:rPr>
          <w:rFonts w:ascii="仿宋_GB2312" w:hAnsi="仿宋" w:eastAsia="仿宋_GB2312" w:cs="Times New Roman"/>
          <w:sz w:val="32"/>
          <w:szCs w:val="32"/>
        </w:rPr>
      </w:pPr>
      <w:r>
        <w:rPr>
          <w:rFonts w:hint="eastAsia" w:ascii="楷体_GB2312" w:hAnsi="仿宋" w:eastAsia="楷体_GB2312" w:cs="楷体_GB2312"/>
          <w:sz w:val="32"/>
          <w:szCs w:val="32"/>
        </w:rPr>
        <w:t>（三）加强培训指导。</w:t>
      </w:r>
      <w:r>
        <w:rPr>
          <w:rFonts w:hint="eastAsia" w:ascii="仿宋_GB2312" w:hAnsi="仿宋" w:eastAsia="仿宋_GB2312" w:cs="仿宋_GB2312"/>
          <w:sz w:val="32"/>
          <w:szCs w:val="32"/>
        </w:rPr>
        <w:t>各相关单位要组织开展告知承诺制宣传、学习培训，准确把握政策方向和工作要求，保障推进工作依法、有序、稳妥开展。要及时研究、解决工作中遇到的普遍性问题，适时复制推广典型经验做法，切实将告知承诺制落到实处。行政机关制定出台的配套制度、格式文本等及时向</w:t>
      </w:r>
      <w:r>
        <w:rPr>
          <w:rFonts w:hint="eastAsia" w:ascii="仿宋_GB2312" w:hAnsi="仿宋" w:eastAsia="仿宋_GB2312" w:cs="仿宋_GB2312"/>
          <w:color w:val="000000"/>
          <w:sz w:val="32"/>
          <w:szCs w:val="32"/>
        </w:rPr>
        <w:t>市司法局</w:t>
      </w:r>
      <w:r>
        <w:rPr>
          <w:rFonts w:hint="eastAsia" w:ascii="仿宋_GB2312" w:hAnsi="仿宋" w:eastAsia="仿宋_GB2312" w:cs="仿宋_GB2312"/>
          <w:sz w:val="32"/>
          <w:szCs w:val="32"/>
        </w:rPr>
        <w:t>备案。</w:t>
      </w:r>
    </w:p>
    <w:p>
      <w:pPr>
        <w:spacing w:line="580" w:lineRule="exact"/>
        <w:ind w:firstLine="640" w:firstLineChars="200"/>
        <w:rPr>
          <w:rFonts w:ascii="仿宋_GB2312" w:hAnsi="仿宋" w:eastAsia="仿宋_GB2312" w:cs="Times New Roman"/>
          <w:sz w:val="32"/>
          <w:szCs w:val="32"/>
        </w:rPr>
      </w:pPr>
      <w:r>
        <w:rPr>
          <w:rFonts w:hint="eastAsia" w:ascii="楷体_GB2312" w:hAnsi="仿宋" w:eastAsia="楷体_GB2312" w:cs="楷体_GB2312"/>
          <w:sz w:val="32"/>
          <w:szCs w:val="32"/>
        </w:rPr>
        <w:t>（四）加强督察激励。</w:t>
      </w:r>
      <w:r>
        <w:rPr>
          <w:rFonts w:hint="eastAsia" w:ascii="仿宋_GB2312" w:hAnsi="仿宋_GB2312" w:eastAsia="仿宋_GB2312" w:cs="仿宋_GB2312"/>
          <w:sz w:val="32"/>
          <w:szCs w:val="32"/>
        </w:rPr>
        <w:t>要</w:t>
      </w:r>
      <w:r>
        <w:rPr>
          <w:rFonts w:hint="eastAsia" w:ascii="仿宋_GB2312" w:hAnsi="仿宋" w:eastAsia="仿宋_GB2312" w:cs="仿宋_GB2312"/>
          <w:sz w:val="32"/>
          <w:szCs w:val="32"/>
        </w:rPr>
        <w:t>将推进情况列为年度法治政府建设督察内容。建立健全改革容错机制，属于合理容错情形的，对相关单位及人员依纪依法免除相关责任或者减轻、从轻处理。市政府对工作中表现突出、企业和群众评价满意度高的单位及人员，要按照有关规定予以表彰和奖励。</w:t>
      </w:r>
    </w:p>
    <w:p>
      <w:pPr>
        <w:spacing w:line="580" w:lineRule="exact"/>
        <w:ind w:firstLine="640" w:firstLineChars="200"/>
        <w:rPr>
          <w:rFonts w:ascii="仿宋_GB2312" w:hAnsi="仿宋" w:eastAsia="仿宋_GB2312" w:cs="Times New Roman"/>
          <w:sz w:val="32"/>
          <w:szCs w:val="32"/>
        </w:rPr>
      </w:pPr>
    </w:p>
    <w:p>
      <w:pPr>
        <w:spacing w:line="580" w:lineRule="exact"/>
        <w:ind w:firstLine="640" w:firstLineChars="200"/>
        <w:rPr>
          <w:rFonts w:ascii="仿宋_GB2312" w:hAnsi="仿宋" w:eastAsia="仿宋_GB2312" w:cs="Times New Roman"/>
          <w:sz w:val="32"/>
          <w:szCs w:val="32"/>
        </w:rPr>
      </w:pPr>
    </w:p>
    <w:p>
      <w:pPr>
        <w:spacing w:line="560" w:lineRule="exact"/>
        <w:rPr>
          <w:rFonts w:ascii="仿宋_GB2312" w:hAnsi="仿宋" w:eastAsia="仿宋_GB2312" w:cs="Times New Roman"/>
          <w:sz w:val="32"/>
          <w:szCs w:val="32"/>
        </w:rPr>
      </w:pPr>
    </w:p>
    <w:p>
      <w:pPr>
        <w:spacing w:line="560" w:lineRule="exact"/>
        <w:ind w:firstLine="640" w:firstLineChars="200"/>
        <w:rPr>
          <w:rFonts w:ascii="仿宋_GB2312" w:hAnsi="仿宋" w:eastAsia="仿宋_GB2312" w:cs="Times New Roman"/>
          <w:sz w:val="32"/>
          <w:szCs w:val="32"/>
        </w:rPr>
      </w:pPr>
    </w:p>
    <w:p>
      <w:pPr>
        <w:spacing w:line="400" w:lineRule="exact"/>
        <w:jc w:val="right"/>
        <w:rPr>
          <w:rFonts w:ascii="仿宋_GB2312" w:hAnsi="Arial" w:eastAsia="仿宋_GB2312" w:cs="Times New Roman"/>
          <w:sz w:val="32"/>
          <w:szCs w:val="32"/>
        </w:rPr>
      </w:pPr>
      <w:r>
        <w:pict>
          <v:line id="_x0000_s1028" o:spid="_x0000_s1028" o:spt="20" style="position:absolute;left:0pt;margin-top:13pt;height:2pt;width:425.2pt;mso-position-horizontal:center;z-index:251659264;mso-width-relative:page;mso-height-relative:page;" coordsize="21600,21600">
            <v:path arrowok="t"/>
            <v:fill focussize="0,0"/>
            <v:stroke weight="1.5pt"/>
            <v:imagedata o:title=""/>
            <o:lock v:ext="edit"/>
          </v:line>
        </w:pict>
      </w:r>
    </w:p>
    <w:p>
      <w:pPr>
        <w:spacing w:line="400" w:lineRule="exact"/>
        <w:rPr>
          <w:rFonts w:ascii="仿宋_GB2312" w:eastAsia="仿宋_GB2312" w:cs="Times New Roman"/>
          <w:sz w:val="28"/>
          <w:szCs w:val="28"/>
        </w:rPr>
      </w:pPr>
      <w:r>
        <w:rPr>
          <w:rFonts w:hint="eastAsia" w:ascii="仿宋_GB2312" w:eastAsia="仿宋_GB2312" w:cs="仿宋_GB2312"/>
          <w:b/>
          <w:bCs/>
          <w:sz w:val="28"/>
          <w:szCs w:val="28"/>
        </w:rPr>
        <w:t>抄送：</w:t>
      </w:r>
      <w:r>
        <w:rPr>
          <w:rFonts w:hint="eastAsia" w:ascii="仿宋_GB2312" w:eastAsia="仿宋_GB2312" w:cs="仿宋_GB2312"/>
          <w:sz w:val="28"/>
          <w:szCs w:val="28"/>
        </w:rPr>
        <w:t>市委办公室，市人大常委会办公室，市政协办公室，市纪委办公室，市法院，市检察院，市人武部。</w:t>
      </w:r>
    </w:p>
    <w:p>
      <w:pPr>
        <w:spacing w:line="240" w:lineRule="exact"/>
        <w:ind w:firstLine="561"/>
        <w:rPr>
          <w:rFonts w:ascii="仿宋_GB2312" w:eastAsia="仿宋_GB2312" w:cs="Times New Roman"/>
          <w:sz w:val="28"/>
          <w:szCs w:val="28"/>
        </w:rPr>
      </w:pPr>
      <w:r>
        <w:pict>
          <v:line id="_x0000_s1029" o:spid="_x0000_s1029" o:spt="20" style="position:absolute;left:0pt;margin-top:3.4pt;height:0pt;width:425.2pt;mso-position-horizontal:center;z-index:251660288;mso-width-relative:page;mso-height-relative:page;" coordsize="21600,21600">
            <v:path arrowok="t"/>
            <v:fill focussize="0,0"/>
            <v:stroke/>
            <v:imagedata o:title=""/>
            <o:lock v:ext="edit"/>
          </v:line>
        </w:pict>
      </w:r>
    </w:p>
    <w:p>
      <w:pPr>
        <w:spacing w:line="400" w:lineRule="exact"/>
        <w:rPr>
          <w:rFonts w:ascii="仿宋_GB2312" w:hAnsi="华文中宋" w:eastAsia="仿宋_GB2312" w:cs="Times New Roman"/>
          <w:sz w:val="28"/>
          <w:szCs w:val="28"/>
        </w:rPr>
      </w:pPr>
      <w:r>
        <w:pict>
          <v:line id="_x0000_s1030" o:spid="_x0000_s1030" o:spt="20" style="position:absolute;left:0pt;margin-top:22.2pt;height:0.6pt;width:430.85pt;mso-position-horizontal:center;z-index:251661312;mso-width-relative:page;mso-height-relative:page;" coordsize="21600,21600">
            <v:path arrowok="t"/>
            <v:fill focussize="0,0"/>
            <v:stroke weight="1.5pt"/>
            <v:imagedata o:title=""/>
            <o:lock v:ext="edit"/>
          </v:line>
        </w:pict>
      </w:r>
      <w:r>
        <w:rPr>
          <w:rFonts w:hint="eastAsia" w:ascii="仿宋_GB2312" w:hAnsi="华文中宋" w:eastAsia="仿宋_GB2312" w:cs="仿宋_GB2312"/>
          <w:sz w:val="28"/>
          <w:szCs w:val="28"/>
        </w:rPr>
        <w:t>滕州市人民政府办公室</w:t>
      </w:r>
      <w:r>
        <w:rPr>
          <w:rFonts w:ascii="仿宋_GB2312" w:hAnsi="华文中宋" w:eastAsia="仿宋_GB2312" w:cs="仿宋_GB2312"/>
          <w:sz w:val="28"/>
          <w:szCs w:val="28"/>
        </w:rPr>
        <w:t xml:space="preserve">                      2021</w:t>
      </w:r>
      <w:r>
        <w:rPr>
          <w:rFonts w:hint="eastAsia" w:ascii="仿宋_GB2312" w:hAnsi="华文中宋" w:eastAsia="仿宋_GB2312" w:cs="仿宋_GB2312"/>
          <w:sz w:val="28"/>
          <w:szCs w:val="28"/>
        </w:rPr>
        <w:t>年</w:t>
      </w:r>
      <w:r>
        <w:rPr>
          <w:rFonts w:ascii="仿宋_GB2312" w:hAnsi="华文中宋" w:eastAsia="仿宋_GB2312" w:cs="仿宋_GB2312"/>
          <w:sz w:val="28"/>
          <w:szCs w:val="28"/>
        </w:rPr>
        <w:t>5</w:t>
      </w:r>
      <w:r>
        <w:rPr>
          <w:rFonts w:hint="eastAsia" w:ascii="仿宋_GB2312" w:hAnsi="华文中宋" w:eastAsia="仿宋_GB2312" w:cs="仿宋_GB2312"/>
          <w:sz w:val="28"/>
          <w:szCs w:val="28"/>
        </w:rPr>
        <w:t>月</w:t>
      </w:r>
      <w:r>
        <w:rPr>
          <w:rFonts w:ascii="仿宋_GB2312" w:hAnsi="华文中宋" w:eastAsia="仿宋_GB2312" w:cs="仿宋_GB2312"/>
          <w:sz w:val="28"/>
          <w:szCs w:val="28"/>
        </w:rPr>
        <w:t>11</w:t>
      </w:r>
      <w:r>
        <w:rPr>
          <w:rFonts w:hint="eastAsia" w:ascii="仿宋_GB2312" w:hAnsi="华文中宋" w:eastAsia="仿宋_GB2312" w:cs="仿宋_GB2312"/>
          <w:sz w:val="28"/>
          <w:szCs w:val="28"/>
        </w:rPr>
        <w:t>日印发</w:t>
      </w:r>
      <w:r>
        <w:pict>
          <v:rect id="_x0000_s1031" o:spid="_x0000_s1031" o:spt="1" style="position:absolute;left:0pt;margin-left:-45pt;margin-top:655.2pt;height:59.7pt;width:121.5pt;z-index:251661312;mso-width-relative:page;mso-height-relative:page;" stroked="t" coordsize="21600,21600">
            <v:path/>
            <v:fill focussize="0,0"/>
            <v:stroke weight="1.25pt" color="#FFFFFF"/>
            <v:imagedata o:title=""/>
            <o:lock v:ext="edit"/>
            <v:textbox>
              <w:txbxContent>
                <w:p>
                  <w:pPr>
                    <w:rPr>
                      <w:rFonts w:cs="Times New Roman"/>
                    </w:rPr>
                  </w:pPr>
                </w:p>
              </w:txbxContent>
            </v:textbox>
          </v:rect>
        </w:pict>
      </w:r>
    </w:p>
    <w:p>
      <w:pPr>
        <w:rPr>
          <w:rFonts w:cs="Times New Roman"/>
        </w:rPr>
      </w:pPr>
    </w:p>
    <w:sectPr>
      <w:footerReference r:id="rId3" w:type="default"/>
      <w:pgSz w:w="11906" w:h="16838"/>
      <w:pgMar w:top="1701" w:right="1701" w:bottom="1701"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cs="Times New Roman"/>
      </w:rPr>
    </w:pPr>
    <w:r>
      <w:pict>
        <v:shape id="_x0000_s2049" o:spid="_x0000_s2049" o:spt="202" type="#_x0000_t202" style="position:absolute;left:0pt;margin-top:0pt;height:144pt;width:144pt;mso-position-horizontal:outside;mso-position-horizontal-relative:margin;mso-wrap-style:none;z-index:251663360;mso-width-relative:page;mso-height-relative:page;" filled="f" stroked="f" coordsize="21600,21600">
          <v:path/>
          <v:fill on="f" focussize="0,0"/>
          <v:stroke on="f" weight="0.5pt" joinstyle="miter"/>
          <v:imagedata o:title=""/>
          <o:lock v:ext="edit"/>
          <v:textbox inset="0mm,0mm,0mm,0mm" style="mso-fit-shape-to-text:t;">
            <w:txbxContent>
              <w:p>
                <w:pPr>
                  <w:pStyle w:val="2"/>
                  <w:rPr>
                    <w:rFonts w:cs="Times New Roman"/>
                  </w:rPr>
                </w:pPr>
                <w:r>
                  <w:rPr>
                    <w:rFonts w:ascii="宋体" w:hAnsi="宋体" w:cs="宋体"/>
                    <w:sz w:val="24"/>
                    <w:szCs w:val="24"/>
                  </w:rPr>
                  <w:fldChar w:fldCharType="begin"/>
                </w:r>
                <w:r>
                  <w:rPr>
                    <w:rFonts w:ascii="宋体" w:hAnsi="宋体" w:cs="宋体"/>
                    <w:sz w:val="24"/>
                    <w:szCs w:val="24"/>
                  </w:rPr>
                  <w:instrText xml:space="preserve"> PAGE  \* MERGEFORMAT </w:instrText>
                </w:r>
                <w:r>
                  <w:rPr>
                    <w:rFonts w:ascii="宋体" w:hAnsi="宋体" w:cs="宋体"/>
                    <w:sz w:val="24"/>
                    <w:szCs w:val="24"/>
                  </w:rPr>
                  <w:fldChar w:fldCharType="separate"/>
                </w:r>
                <w:r>
                  <w:rPr>
                    <w:rFonts w:ascii="宋体" w:hAnsi="宋体" w:cs="宋体"/>
                    <w:sz w:val="24"/>
                    <w:szCs w:val="24"/>
                  </w:rPr>
                  <w:t>- 2 -</w:t>
                </w:r>
                <w:r>
                  <w:rPr>
                    <w:rFonts w:ascii="宋体" w:hAnsi="宋体" w:cs="宋体"/>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73FF2CD4"/>
    <w:rsid w:val="007859E6"/>
    <w:rsid w:val="007A69AC"/>
    <w:rsid w:val="00B12633"/>
    <w:rsid w:val="00C235CC"/>
    <w:rsid w:val="00EA7C57"/>
    <w:rsid w:val="0B182118"/>
    <w:rsid w:val="10501DDD"/>
    <w:rsid w:val="1A686866"/>
    <w:rsid w:val="1DE727FE"/>
    <w:rsid w:val="210423A1"/>
    <w:rsid w:val="3281191D"/>
    <w:rsid w:val="3CAD67A7"/>
    <w:rsid w:val="4E57569C"/>
    <w:rsid w:val="55A41F93"/>
    <w:rsid w:val="57064F23"/>
    <w:rsid w:val="570A6DBE"/>
    <w:rsid w:val="59027876"/>
    <w:rsid w:val="61D53E42"/>
    <w:rsid w:val="69C422B8"/>
    <w:rsid w:val="6BCC2ACF"/>
    <w:rsid w:val="73FF2CD4"/>
    <w:rsid w:val="74C25112"/>
    <w:rsid w:val="77A0038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jc w:val="left"/>
    </w:pPr>
    <w:rPr>
      <w:sz w:val="18"/>
      <w:szCs w:val="18"/>
    </w:rPr>
  </w:style>
  <w:style w:type="paragraph" w:styleId="3">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4">
    <w:name w:val="Normal (Web)"/>
    <w:basedOn w:val="1"/>
    <w:uiPriority w:val="99"/>
    <w:pPr>
      <w:spacing w:beforeAutospacing="1" w:afterAutospacing="1"/>
      <w:jc w:val="left"/>
    </w:pPr>
    <w:rPr>
      <w:kern w:val="0"/>
      <w:sz w:val="24"/>
      <w:szCs w:val="24"/>
    </w:rPr>
  </w:style>
  <w:style w:type="character" w:styleId="7">
    <w:name w:val="page number"/>
    <w:basedOn w:val="6"/>
    <w:qFormat/>
    <w:uiPriority w:val="99"/>
  </w:style>
  <w:style w:type="character" w:customStyle="1" w:styleId="8">
    <w:name w:val="Footer Char"/>
    <w:basedOn w:val="6"/>
    <w:link w:val="2"/>
    <w:semiHidden/>
    <w:qFormat/>
    <w:uiPriority w:val="99"/>
    <w:rPr>
      <w:rFonts w:ascii="Calibri" w:hAnsi="Calibri" w:cs="Calibri"/>
      <w:sz w:val="18"/>
      <w:szCs w:val="18"/>
    </w:rPr>
  </w:style>
  <w:style w:type="character" w:customStyle="1" w:styleId="9">
    <w:name w:val="Header Char"/>
    <w:basedOn w:val="6"/>
    <w:link w:val="3"/>
    <w:semiHidden/>
    <w:qFormat/>
    <w:uiPriority w:val="99"/>
    <w:rPr>
      <w:rFonts w:ascii="Calibri" w:hAnsi="Calibri" w:cs="Calibri"/>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32"/>
    <customShpInfo spid="_x0000_s1033"/>
    <customShpInfo spid="_x0000_s1027"/>
    <customShpInfo spid="_x0000_s1028"/>
    <customShpInfo spid="_x0000_s1029"/>
    <customShpInfo spid="_x0000_s1030"/>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syyw</Company>
  <Pages>7</Pages>
  <Words>2792</Words>
  <Characters>2809</Characters>
  <Lines>0</Lines>
  <Paragraphs>0</Paragraphs>
  <TotalTime>0</TotalTime>
  <ScaleCrop>false</ScaleCrop>
  <LinksUpToDate>false</LinksUpToDate>
  <CharactersWithSpaces>2851</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2021-03-01T01:21:00Z</dcterms:created>
  <dc:creator>WPS_1609115188</dc:creator>
  <cp:lastModifiedBy>爱新觉罗-琛</cp:lastModifiedBy>
  <cp:lastPrinted>2021-05-13T02:14:00Z</cp:lastPrinted>
  <dcterms:modified xsi:type="dcterms:W3CDTF">2021-08-30T02:07:34Z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D1DE7C88DBA84E32BA0AF87C53D58969</vt:lpwstr>
  </property>
</Properties>
</file>